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227B0" w:rsidRPr="00B9380B" w14:paraId="6717DB99" w14:textId="77777777" w:rsidTr="00651895">
        <w:tc>
          <w:tcPr>
            <w:tcW w:w="9016" w:type="dxa"/>
          </w:tcPr>
          <w:p w14:paraId="1CB657F0" w14:textId="77777777" w:rsidR="0053564C" w:rsidRPr="001959F1" w:rsidRDefault="0053564C" w:rsidP="00651895">
            <w:pPr>
              <w:pStyle w:val="Heading1"/>
              <w:spacing w:after="0"/>
              <w:outlineLvl w:val="0"/>
              <w:rPr>
                <w:rFonts w:asciiTheme="minorHAnsi" w:hAnsiTheme="minorHAnsi" w:cs="Arial"/>
                <w:sz w:val="32"/>
                <w:szCs w:val="32"/>
              </w:rPr>
            </w:pPr>
            <w:r w:rsidRPr="001959F1">
              <w:rPr>
                <w:rFonts w:asciiTheme="minorHAnsi" w:hAnsiTheme="minorHAnsi" w:cs="Arial"/>
                <w:sz w:val="32"/>
                <w:szCs w:val="32"/>
              </w:rPr>
              <w:t xml:space="preserve">GRIEVANCE POLICY </w:t>
            </w:r>
          </w:p>
          <w:p w14:paraId="1A584391" w14:textId="77777777" w:rsidR="0053564C" w:rsidRPr="00B9380B" w:rsidRDefault="0053564C" w:rsidP="00651895">
            <w:pPr>
              <w:spacing w:after="0" w:line="240" w:lineRule="auto"/>
              <w:rPr>
                <w:rFonts w:asciiTheme="minorHAnsi" w:hAnsiTheme="minorHAnsi" w:cs="Arial"/>
                <w:sz w:val="24"/>
                <w:szCs w:val="24"/>
              </w:rPr>
            </w:pPr>
          </w:p>
          <w:p w14:paraId="4724E00D" w14:textId="77777777" w:rsidR="0053564C" w:rsidRPr="00B9380B" w:rsidRDefault="0053564C" w:rsidP="00651895">
            <w:pPr>
              <w:pStyle w:val="Heading2"/>
              <w:outlineLvl w:val="1"/>
              <w:rPr>
                <w:rFonts w:asciiTheme="minorHAnsi" w:hAnsiTheme="minorHAnsi" w:cs="Arial"/>
                <w:szCs w:val="24"/>
              </w:rPr>
            </w:pPr>
            <w:r w:rsidRPr="00B9380B">
              <w:rPr>
                <w:rFonts w:asciiTheme="minorHAnsi" w:hAnsiTheme="minorHAnsi" w:cs="Arial"/>
                <w:szCs w:val="24"/>
              </w:rPr>
              <w:t>Definition</w:t>
            </w:r>
          </w:p>
          <w:p w14:paraId="6CB42C69" w14:textId="2365EF0D" w:rsidR="0053564C" w:rsidRPr="00B9380B" w:rsidRDefault="0053564C" w:rsidP="00651895">
            <w:pPr>
              <w:pStyle w:val="BodyText"/>
              <w:spacing w:after="0" w:line="240" w:lineRule="auto"/>
              <w:rPr>
                <w:rFonts w:asciiTheme="minorHAnsi" w:hAnsiTheme="minorHAnsi" w:cs="Arial"/>
                <w:sz w:val="24"/>
                <w:szCs w:val="24"/>
              </w:rPr>
            </w:pPr>
            <w:r w:rsidRPr="00B9380B">
              <w:rPr>
                <w:rFonts w:asciiTheme="minorHAnsi" w:hAnsiTheme="minorHAnsi" w:cs="Arial"/>
                <w:sz w:val="24"/>
                <w:szCs w:val="24"/>
              </w:rPr>
              <w:t xml:space="preserve">We will reach agreement sensitively, fairly and promptly, if any </w:t>
            </w:r>
            <w:r w:rsidR="004623C5">
              <w:rPr>
                <w:rFonts w:asciiTheme="minorHAnsi" w:hAnsiTheme="minorHAnsi" w:cs="Arial"/>
                <w:sz w:val="24"/>
                <w:szCs w:val="24"/>
              </w:rPr>
              <w:t>Total</w:t>
            </w:r>
            <w:r w:rsidR="009C19CD">
              <w:rPr>
                <w:rFonts w:asciiTheme="minorHAnsi" w:hAnsiTheme="minorHAnsi" w:cs="Arial"/>
                <w:sz w:val="24"/>
                <w:szCs w:val="24"/>
              </w:rPr>
              <w:t>-</w:t>
            </w:r>
            <w:r w:rsidR="004623C5">
              <w:rPr>
                <w:rFonts w:asciiTheme="minorHAnsi" w:hAnsiTheme="minorHAnsi" w:cs="Arial"/>
                <w:sz w:val="24"/>
                <w:szCs w:val="24"/>
              </w:rPr>
              <w:t>Cleaning</w:t>
            </w:r>
            <w:r w:rsidR="009C19CD">
              <w:rPr>
                <w:rFonts w:asciiTheme="minorHAnsi" w:hAnsiTheme="minorHAnsi" w:cs="Arial"/>
                <w:sz w:val="24"/>
                <w:szCs w:val="24"/>
              </w:rPr>
              <w:t>.Com</w:t>
            </w:r>
            <w:r w:rsidRPr="00B9380B">
              <w:rPr>
                <w:rFonts w:asciiTheme="minorHAnsi" w:hAnsiTheme="minorHAnsi" w:cs="Arial"/>
                <w:sz w:val="24"/>
                <w:szCs w:val="24"/>
              </w:rPr>
              <w:t xml:space="preserve"> employee has a grievance or dispute concerning their employment</w:t>
            </w:r>
          </w:p>
          <w:p w14:paraId="5718A23E" w14:textId="77777777" w:rsidR="0053564C" w:rsidRPr="00B9380B" w:rsidRDefault="0053564C" w:rsidP="00651895">
            <w:pPr>
              <w:pStyle w:val="Heading2"/>
              <w:outlineLvl w:val="1"/>
              <w:rPr>
                <w:rFonts w:asciiTheme="minorHAnsi" w:hAnsiTheme="minorHAnsi" w:cs="Arial"/>
                <w:szCs w:val="24"/>
              </w:rPr>
            </w:pPr>
          </w:p>
          <w:p w14:paraId="67150627" w14:textId="77777777" w:rsidR="0053564C" w:rsidRPr="00B9380B" w:rsidRDefault="0053564C" w:rsidP="00651895">
            <w:pPr>
              <w:pStyle w:val="Heading2"/>
              <w:outlineLvl w:val="1"/>
              <w:rPr>
                <w:rFonts w:asciiTheme="minorHAnsi" w:hAnsiTheme="minorHAnsi" w:cs="Arial"/>
                <w:szCs w:val="24"/>
              </w:rPr>
            </w:pPr>
            <w:r w:rsidRPr="00B9380B">
              <w:rPr>
                <w:rFonts w:asciiTheme="minorHAnsi" w:hAnsiTheme="minorHAnsi" w:cs="Arial"/>
                <w:szCs w:val="24"/>
              </w:rPr>
              <w:t>Scope</w:t>
            </w:r>
          </w:p>
          <w:p w14:paraId="2C99FA02" w14:textId="244311CE" w:rsidR="0053564C" w:rsidRPr="00B9380B" w:rsidRDefault="0053564C" w:rsidP="00651895">
            <w:pPr>
              <w:spacing w:after="0" w:line="240" w:lineRule="auto"/>
              <w:rPr>
                <w:rFonts w:asciiTheme="minorHAnsi" w:hAnsiTheme="minorHAnsi" w:cs="Arial"/>
                <w:sz w:val="24"/>
                <w:szCs w:val="24"/>
              </w:rPr>
            </w:pPr>
            <w:r w:rsidRPr="00B9380B">
              <w:rPr>
                <w:rFonts w:asciiTheme="minorHAnsi" w:hAnsiTheme="minorHAnsi" w:cs="Arial"/>
                <w:sz w:val="24"/>
                <w:szCs w:val="24"/>
              </w:rPr>
              <w:t xml:space="preserve">All </w:t>
            </w:r>
            <w:r w:rsidR="004623C5">
              <w:rPr>
                <w:rFonts w:asciiTheme="minorHAnsi" w:hAnsiTheme="minorHAnsi" w:cs="Arial"/>
                <w:sz w:val="24"/>
                <w:szCs w:val="24"/>
              </w:rPr>
              <w:t>Total</w:t>
            </w:r>
            <w:r w:rsidR="009C19CD">
              <w:rPr>
                <w:rFonts w:asciiTheme="minorHAnsi" w:hAnsiTheme="minorHAnsi" w:cs="Arial"/>
                <w:sz w:val="24"/>
                <w:szCs w:val="24"/>
              </w:rPr>
              <w:t>-</w:t>
            </w:r>
            <w:r w:rsidR="004623C5">
              <w:rPr>
                <w:rFonts w:asciiTheme="minorHAnsi" w:hAnsiTheme="minorHAnsi" w:cs="Arial"/>
                <w:sz w:val="24"/>
                <w:szCs w:val="24"/>
              </w:rPr>
              <w:t>Cleaning</w:t>
            </w:r>
            <w:r w:rsidR="009C19CD">
              <w:rPr>
                <w:rFonts w:asciiTheme="minorHAnsi" w:hAnsiTheme="minorHAnsi" w:cs="Arial"/>
                <w:sz w:val="24"/>
                <w:szCs w:val="24"/>
              </w:rPr>
              <w:t>.Com</w:t>
            </w:r>
            <w:r w:rsidRPr="00B9380B">
              <w:rPr>
                <w:rFonts w:asciiTheme="minorHAnsi" w:hAnsiTheme="minorHAnsi" w:cs="Arial"/>
                <w:sz w:val="24"/>
                <w:szCs w:val="24"/>
              </w:rPr>
              <w:t xml:space="preserve"> employees</w:t>
            </w:r>
          </w:p>
          <w:p w14:paraId="2A18F186" w14:textId="77777777" w:rsidR="0053564C" w:rsidRPr="00B9380B" w:rsidRDefault="0053564C" w:rsidP="00651895">
            <w:pPr>
              <w:spacing w:after="0" w:line="240" w:lineRule="auto"/>
              <w:rPr>
                <w:rFonts w:asciiTheme="minorHAnsi" w:hAnsiTheme="minorHAnsi" w:cs="Arial"/>
                <w:sz w:val="24"/>
                <w:szCs w:val="24"/>
              </w:rPr>
            </w:pPr>
          </w:p>
          <w:p w14:paraId="19F67082" w14:textId="77777777" w:rsidR="0053564C" w:rsidRPr="00B9380B" w:rsidRDefault="0053564C" w:rsidP="00651895">
            <w:pPr>
              <w:pStyle w:val="Heading2"/>
              <w:outlineLvl w:val="1"/>
              <w:rPr>
                <w:rFonts w:asciiTheme="minorHAnsi" w:hAnsiTheme="minorHAnsi" w:cs="Arial"/>
                <w:szCs w:val="24"/>
              </w:rPr>
            </w:pPr>
            <w:r w:rsidRPr="00B9380B">
              <w:rPr>
                <w:rFonts w:asciiTheme="minorHAnsi" w:hAnsiTheme="minorHAnsi" w:cs="Arial"/>
                <w:szCs w:val="24"/>
              </w:rPr>
              <w:t>Objectives</w:t>
            </w:r>
          </w:p>
          <w:p w14:paraId="1E46E200" w14:textId="77777777" w:rsidR="0053564C" w:rsidRPr="00B9380B" w:rsidRDefault="0053564C" w:rsidP="00651895">
            <w:pPr>
              <w:pStyle w:val="Bullet"/>
              <w:rPr>
                <w:rFonts w:asciiTheme="minorHAnsi" w:hAnsiTheme="minorHAnsi" w:cs="Arial"/>
                <w:b/>
                <w:sz w:val="24"/>
                <w:szCs w:val="24"/>
                <w:u w:val="single"/>
              </w:rPr>
            </w:pPr>
            <w:r w:rsidRPr="00B9380B">
              <w:rPr>
                <w:rFonts w:asciiTheme="minorHAnsi" w:hAnsiTheme="minorHAnsi" w:cs="Arial"/>
                <w:sz w:val="24"/>
                <w:szCs w:val="24"/>
              </w:rPr>
              <w:t>To enable the company to deal with grievance issues sensitively and in a consistent, fair and professional way.</w:t>
            </w:r>
          </w:p>
          <w:p w14:paraId="2058EB60" w14:textId="77777777" w:rsidR="0053564C" w:rsidRPr="00B9380B" w:rsidRDefault="0053564C" w:rsidP="00651895">
            <w:pPr>
              <w:pStyle w:val="Bullet"/>
              <w:rPr>
                <w:rFonts w:asciiTheme="minorHAnsi" w:hAnsiTheme="minorHAnsi" w:cs="Arial"/>
                <w:b/>
                <w:sz w:val="24"/>
                <w:szCs w:val="24"/>
                <w:u w:val="single"/>
              </w:rPr>
            </w:pPr>
            <w:r w:rsidRPr="00B9380B">
              <w:rPr>
                <w:rFonts w:asciiTheme="minorHAnsi" w:hAnsiTheme="minorHAnsi" w:cs="Arial"/>
                <w:sz w:val="24"/>
                <w:szCs w:val="24"/>
              </w:rPr>
              <w:t>To provide a framework for employees to raise concerns about their work, working environment or working relationships and for these to be dealt with before they develop into major problems.</w:t>
            </w:r>
          </w:p>
          <w:p w14:paraId="0E4A7F65" w14:textId="77777777" w:rsidR="0053564C" w:rsidRPr="00B9380B" w:rsidRDefault="0053564C" w:rsidP="00651895">
            <w:pPr>
              <w:pStyle w:val="Bullet"/>
              <w:rPr>
                <w:rFonts w:asciiTheme="minorHAnsi" w:hAnsiTheme="minorHAnsi" w:cs="Arial"/>
                <w:b/>
                <w:sz w:val="24"/>
                <w:szCs w:val="24"/>
                <w:u w:val="single"/>
              </w:rPr>
            </w:pPr>
            <w:r w:rsidRPr="00B9380B">
              <w:rPr>
                <w:rFonts w:asciiTheme="minorHAnsi" w:hAnsiTheme="minorHAnsi" w:cs="Arial"/>
                <w:sz w:val="24"/>
                <w:szCs w:val="24"/>
              </w:rPr>
              <w:t>To reflect Best Practice.</w:t>
            </w:r>
          </w:p>
          <w:p w14:paraId="5B05FE09" w14:textId="77777777" w:rsidR="0053564C" w:rsidRPr="00B9380B" w:rsidRDefault="0053564C" w:rsidP="00651895">
            <w:pPr>
              <w:pStyle w:val="Bullet"/>
              <w:rPr>
                <w:rFonts w:asciiTheme="minorHAnsi" w:hAnsiTheme="minorHAnsi" w:cs="Arial"/>
                <w:sz w:val="24"/>
                <w:szCs w:val="24"/>
              </w:rPr>
            </w:pPr>
            <w:r w:rsidRPr="00B9380B">
              <w:rPr>
                <w:rFonts w:asciiTheme="minorHAnsi" w:hAnsiTheme="minorHAnsi" w:cs="Arial"/>
                <w:sz w:val="24"/>
                <w:szCs w:val="24"/>
              </w:rPr>
              <w:t>To proactively manage the number of claims brought against the company.</w:t>
            </w:r>
          </w:p>
          <w:p w14:paraId="0FEF8FE4" w14:textId="77777777" w:rsidR="0053564C" w:rsidRPr="00B9380B" w:rsidRDefault="0053564C" w:rsidP="00651895">
            <w:pPr>
              <w:pStyle w:val="Bullet"/>
              <w:rPr>
                <w:rFonts w:asciiTheme="minorHAnsi" w:hAnsiTheme="minorHAnsi" w:cs="Arial"/>
                <w:sz w:val="24"/>
                <w:szCs w:val="24"/>
              </w:rPr>
            </w:pPr>
            <w:r w:rsidRPr="00B9380B">
              <w:rPr>
                <w:rFonts w:asciiTheme="minorHAnsi" w:hAnsiTheme="minorHAnsi" w:cs="Arial"/>
                <w:sz w:val="24"/>
                <w:szCs w:val="24"/>
              </w:rPr>
              <w:t>To foster good employee relations</w:t>
            </w:r>
          </w:p>
          <w:p w14:paraId="746FD187" w14:textId="77777777" w:rsidR="0053564C" w:rsidRPr="00B9380B" w:rsidRDefault="0053564C" w:rsidP="00651895">
            <w:pPr>
              <w:pStyle w:val="Bullet"/>
              <w:numPr>
                <w:ilvl w:val="0"/>
                <w:numId w:val="0"/>
              </w:numPr>
              <w:ind w:left="405"/>
              <w:rPr>
                <w:rFonts w:asciiTheme="minorHAnsi" w:hAnsiTheme="minorHAnsi" w:cs="Arial"/>
                <w:sz w:val="24"/>
                <w:szCs w:val="24"/>
              </w:rPr>
            </w:pPr>
          </w:p>
          <w:p w14:paraId="00C60EA0" w14:textId="77777777" w:rsidR="0053564C" w:rsidRPr="00B9380B" w:rsidRDefault="0053564C" w:rsidP="00651895">
            <w:pPr>
              <w:pStyle w:val="Heading2"/>
              <w:outlineLvl w:val="1"/>
              <w:rPr>
                <w:rFonts w:asciiTheme="minorHAnsi" w:hAnsiTheme="minorHAnsi" w:cs="Arial"/>
                <w:szCs w:val="24"/>
              </w:rPr>
            </w:pPr>
          </w:p>
          <w:p w14:paraId="492BB6DD" w14:textId="77777777" w:rsidR="0053564C" w:rsidRPr="001959F1" w:rsidRDefault="0053564C" w:rsidP="00651895">
            <w:pPr>
              <w:pStyle w:val="Heading2"/>
              <w:outlineLvl w:val="1"/>
              <w:rPr>
                <w:rFonts w:asciiTheme="minorHAnsi" w:hAnsiTheme="minorHAnsi" w:cs="Arial"/>
                <w:sz w:val="32"/>
                <w:szCs w:val="32"/>
              </w:rPr>
            </w:pPr>
            <w:r w:rsidRPr="001959F1">
              <w:rPr>
                <w:rFonts w:asciiTheme="minorHAnsi" w:hAnsiTheme="minorHAnsi" w:cs="Arial"/>
                <w:sz w:val="32"/>
                <w:szCs w:val="32"/>
              </w:rPr>
              <w:t>Principles</w:t>
            </w:r>
          </w:p>
          <w:p w14:paraId="2D13129B" w14:textId="77777777" w:rsidR="0053564C" w:rsidRPr="00B9380B" w:rsidRDefault="0053564C" w:rsidP="00651895">
            <w:pPr>
              <w:pStyle w:val="Bullet"/>
              <w:rPr>
                <w:rFonts w:asciiTheme="minorHAnsi" w:hAnsiTheme="minorHAnsi" w:cs="Arial"/>
                <w:sz w:val="24"/>
                <w:szCs w:val="24"/>
              </w:rPr>
            </w:pPr>
            <w:r w:rsidRPr="00B9380B">
              <w:rPr>
                <w:rFonts w:asciiTheme="minorHAnsi" w:hAnsiTheme="minorHAnsi" w:cs="Arial"/>
                <w:sz w:val="24"/>
                <w:szCs w:val="24"/>
              </w:rPr>
              <w:t xml:space="preserve">Any grievance raised will be fully investigated and individuals will be provided with a copy of the investigation report in good time prior to any meeting.  </w:t>
            </w:r>
          </w:p>
          <w:p w14:paraId="4FBD8CD7" w14:textId="77777777" w:rsidR="0053564C" w:rsidRPr="00B9380B" w:rsidRDefault="0053564C" w:rsidP="00651895">
            <w:pPr>
              <w:pStyle w:val="Bullet"/>
              <w:rPr>
                <w:rFonts w:asciiTheme="minorHAnsi" w:hAnsiTheme="minorHAnsi" w:cs="Arial"/>
                <w:sz w:val="24"/>
                <w:szCs w:val="24"/>
              </w:rPr>
            </w:pPr>
            <w:r w:rsidRPr="00B9380B">
              <w:rPr>
                <w:rFonts w:asciiTheme="minorHAnsi" w:hAnsiTheme="minorHAnsi" w:cs="Arial"/>
                <w:sz w:val="24"/>
                <w:szCs w:val="24"/>
              </w:rPr>
              <w:t>All grievances raised will be treated seriously and will be investigated in a timely manner in accordance with the procedure.</w:t>
            </w:r>
          </w:p>
          <w:p w14:paraId="35D0E75A" w14:textId="77777777" w:rsidR="0053564C" w:rsidRPr="00B9380B" w:rsidRDefault="0053564C" w:rsidP="00651895">
            <w:pPr>
              <w:pStyle w:val="Bullet"/>
              <w:rPr>
                <w:rFonts w:asciiTheme="minorHAnsi" w:hAnsiTheme="minorHAnsi" w:cs="Arial"/>
                <w:sz w:val="24"/>
                <w:szCs w:val="24"/>
              </w:rPr>
            </w:pPr>
            <w:r w:rsidRPr="00B9380B">
              <w:rPr>
                <w:rFonts w:asciiTheme="minorHAnsi" w:hAnsiTheme="minorHAnsi" w:cs="Arial"/>
                <w:sz w:val="24"/>
                <w:szCs w:val="24"/>
              </w:rPr>
              <w:t>Line management will be responsible for managing each stage of the procedure and will be supported by a representative from HR where required. However, in certain circumstances, where it is not appropriate for line management to be involved, HR will manage the procedure. If at any stage, an individual does not feel it is appropriate to discuss the issue with their line manager, they should contact their Human Resources department.</w:t>
            </w:r>
          </w:p>
          <w:p w14:paraId="2A4839F8" w14:textId="0B6259AB" w:rsidR="0053564C" w:rsidRPr="00B9380B" w:rsidRDefault="0053564C" w:rsidP="00651895">
            <w:pPr>
              <w:pStyle w:val="Bullet"/>
              <w:rPr>
                <w:rFonts w:asciiTheme="minorHAnsi" w:hAnsiTheme="minorHAnsi" w:cs="Arial"/>
                <w:sz w:val="24"/>
                <w:szCs w:val="24"/>
              </w:rPr>
            </w:pPr>
            <w:r w:rsidRPr="00B9380B">
              <w:rPr>
                <w:rFonts w:asciiTheme="minorHAnsi" w:hAnsiTheme="minorHAnsi" w:cs="Arial"/>
                <w:sz w:val="24"/>
                <w:szCs w:val="24"/>
              </w:rPr>
              <w:t xml:space="preserve">Individuals should present their grievance in person, but have the right to be accompanied by a colleague or union representative at all stages of the procedure. They do not have the right to be accompanied by anyone external to </w:t>
            </w:r>
            <w:r w:rsidR="004623C5">
              <w:rPr>
                <w:rFonts w:asciiTheme="minorHAnsi" w:hAnsiTheme="minorHAnsi" w:cs="Arial"/>
                <w:sz w:val="24"/>
                <w:szCs w:val="24"/>
              </w:rPr>
              <w:t>Total Cleaning</w:t>
            </w:r>
            <w:r w:rsidRPr="00B9380B">
              <w:rPr>
                <w:rFonts w:asciiTheme="minorHAnsi" w:hAnsiTheme="minorHAnsi" w:cs="Arial"/>
                <w:sz w:val="24"/>
                <w:szCs w:val="24"/>
              </w:rPr>
              <w:t>, with the exception of a union representative. We recognise that judgement needs to be exercised in some cases.</w:t>
            </w:r>
          </w:p>
          <w:p w14:paraId="2FE4A381" w14:textId="77777777" w:rsidR="0053564C" w:rsidRPr="00B9380B" w:rsidRDefault="0053564C" w:rsidP="00651895">
            <w:pPr>
              <w:pStyle w:val="Bullet"/>
              <w:rPr>
                <w:rFonts w:asciiTheme="minorHAnsi" w:hAnsiTheme="minorHAnsi" w:cs="Arial"/>
                <w:sz w:val="24"/>
                <w:szCs w:val="24"/>
              </w:rPr>
            </w:pPr>
            <w:r w:rsidRPr="00B9380B">
              <w:rPr>
                <w:rFonts w:asciiTheme="minorHAnsi" w:hAnsiTheme="minorHAnsi" w:cs="Arial"/>
                <w:sz w:val="24"/>
                <w:szCs w:val="24"/>
              </w:rPr>
              <w:t>Notes will be taken during each stage of the process and copies distributed to all parties. The outcome of each stage of the grievance procedure will be confirmed in writing and will clearly state what the individual can do if they are unhappy with the decision.</w:t>
            </w:r>
          </w:p>
          <w:p w14:paraId="71615F7B" w14:textId="77777777" w:rsidR="0053564C" w:rsidRPr="00B9380B" w:rsidRDefault="0053564C" w:rsidP="00651895">
            <w:pPr>
              <w:pStyle w:val="Heading2"/>
              <w:outlineLvl w:val="1"/>
              <w:rPr>
                <w:rFonts w:asciiTheme="minorHAnsi" w:hAnsiTheme="minorHAnsi" w:cs="Arial"/>
                <w:szCs w:val="24"/>
              </w:rPr>
            </w:pPr>
          </w:p>
          <w:p w14:paraId="3F98E6CC" w14:textId="77777777" w:rsidR="0053564C" w:rsidRPr="001959F1" w:rsidRDefault="0053564C" w:rsidP="00651895">
            <w:pPr>
              <w:pStyle w:val="Heading2"/>
              <w:outlineLvl w:val="1"/>
              <w:rPr>
                <w:rFonts w:asciiTheme="minorHAnsi" w:hAnsiTheme="minorHAnsi" w:cs="Arial"/>
                <w:sz w:val="32"/>
                <w:szCs w:val="32"/>
              </w:rPr>
            </w:pPr>
            <w:r w:rsidRPr="001959F1">
              <w:rPr>
                <w:rFonts w:asciiTheme="minorHAnsi" w:hAnsiTheme="minorHAnsi" w:cs="Arial"/>
                <w:sz w:val="32"/>
                <w:szCs w:val="32"/>
              </w:rPr>
              <w:t>GUIDELINES</w:t>
            </w:r>
          </w:p>
          <w:p w14:paraId="67DAF65A" w14:textId="77777777" w:rsidR="0053564C" w:rsidRPr="00B9380B" w:rsidRDefault="0053564C" w:rsidP="00651895">
            <w:pPr>
              <w:pStyle w:val="BodyText"/>
              <w:numPr>
                <w:ilvl w:val="12"/>
                <w:numId w:val="0"/>
              </w:numPr>
              <w:spacing w:after="0" w:line="240" w:lineRule="auto"/>
              <w:rPr>
                <w:rFonts w:asciiTheme="minorHAnsi" w:hAnsiTheme="minorHAnsi" w:cs="Arial"/>
                <w:i/>
                <w:sz w:val="24"/>
                <w:szCs w:val="24"/>
              </w:rPr>
            </w:pPr>
            <w:r w:rsidRPr="00B9380B">
              <w:rPr>
                <w:rFonts w:asciiTheme="minorHAnsi" w:hAnsiTheme="minorHAnsi" w:cs="Arial"/>
                <w:i/>
                <w:sz w:val="24"/>
                <w:szCs w:val="24"/>
              </w:rPr>
              <w:lastRenderedPageBreak/>
              <w:t>Grievance Procedure</w:t>
            </w:r>
          </w:p>
          <w:p w14:paraId="5629B728"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r w:rsidRPr="00B9380B">
              <w:rPr>
                <w:rFonts w:asciiTheme="minorHAnsi" w:hAnsiTheme="minorHAnsi" w:cs="Arial"/>
                <w:sz w:val="24"/>
                <w:szCs w:val="24"/>
              </w:rPr>
              <w:t>If an individual has a grievance relating to their employment or an issue at work, they should use the following procedure:</w:t>
            </w:r>
          </w:p>
          <w:p w14:paraId="196458EB"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p>
          <w:p w14:paraId="39B3EB9D"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r w:rsidRPr="00B9380B">
              <w:rPr>
                <w:rFonts w:asciiTheme="minorHAnsi" w:hAnsiTheme="minorHAnsi" w:cs="Arial"/>
                <w:b/>
                <w:sz w:val="24"/>
                <w:szCs w:val="24"/>
              </w:rPr>
              <w:t xml:space="preserve">Stage 1 – </w:t>
            </w:r>
            <w:r w:rsidRPr="00B9380B">
              <w:rPr>
                <w:rFonts w:asciiTheme="minorHAnsi" w:hAnsiTheme="minorHAnsi" w:cs="Arial"/>
                <w:sz w:val="24"/>
                <w:szCs w:val="24"/>
              </w:rPr>
              <w:t>in the first instance individuals should discuss their grievance with their line manager. The line manager will investigate the issue fully and make every effort to resolve it at this level.</w:t>
            </w:r>
          </w:p>
          <w:p w14:paraId="4662C15F" w14:textId="77777777" w:rsidR="0053564C" w:rsidRPr="00B9380B" w:rsidRDefault="0053564C" w:rsidP="00651895">
            <w:pPr>
              <w:pStyle w:val="BodyText"/>
              <w:numPr>
                <w:ilvl w:val="12"/>
                <w:numId w:val="0"/>
              </w:numPr>
              <w:spacing w:after="0" w:line="240" w:lineRule="auto"/>
              <w:rPr>
                <w:rFonts w:asciiTheme="minorHAnsi" w:hAnsiTheme="minorHAnsi" w:cs="Arial"/>
                <w:b/>
                <w:sz w:val="24"/>
                <w:szCs w:val="24"/>
              </w:rPr>
            </w:pPr>
          </w:p>
          <w:p w14:paraId="55A14376"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r w:rsidRPr="00B9380B">
              <w:rPr>
                <w:rFonts w:asciiTheme="minorHAnsi" w:hAnsiTheme="minorHAnsi" w:cs="Arial"/>
                <w:b/>
                <w:sz w:val="24"/>
                <w:szCs w:val="24"/>
              </w:rPr>
              <w:t xml:space="preserve">Stage 2 – </w:t>
            </w:r>
            <w:r w:rsidRPr="00B9380B">
              <w:rPr>
                <w:rFonts w:asciiTheme="minorHAnsi" w:hAnsiTheme="minorHAnsi" w:cs="Arial"/>
                <w:sz w:val="24"/>
                <w:szCs w:val="24"/>
              </w:rPr>
              <w:t>if the grievance is not resolved or no action has been taken within five working days of the first meeting, individuals’ should put the issue in writing, stating details of the grievance and that they wish to refer it to the next level of management. The relevant manager will then arrange a meeting for the individual to explain the issue in more detail and will undertake a full investigation.</w:t>
            </w:r>
          </w:p>
          <w:p w14:paraId="26A5D990" w14:textId="77777777" w:rsidR="0053564C" w:rsidRPr="00B9380B" w:rsidRDefault="0053564C" w:rsidP="00651895">
            <w:pPr>
              <w:pStyle w:val="BodyText"/>
              <w:numPr>
                <w:ilvl w:val="12"/>
                <w:numId w:val="0"/>
              </w:numPr>
              <w:spacing w:after="0" w:line="240" w:lineRule="auto"/>
              <w:rPr>
                <w:rFonts w:asciiTheme="minorHAnsi" w:hAnsiTheme="minorHAnsi" w:cs="Arial"/>
                <w:b/>
                <w:sz w:val="24"/>
                <w:szCs w:val="24"/>
              </w:rPr>
            </w:pPr>
          </w:p>
          <w:p w14:paraId="43983F08"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r w:rsidRPr="00B9380B">
              <w:rPr>
                <w:rFonts w:asciiTheme="minorHAnsi" w:hAnsiTheme="minorHAnsi" w:cs="Arial"/>
                <w:b/>
                <w:sz w:val="24"/>
                <w:szCs w:val="24"/>
              </w:rPr>
              <w:t xml:space="preserve">Stage 3 – </w:t>
            </w:r>
            <w:r w:rsidRPr="00B9380B">
              <w:rPr>
                <w:rFonts w:asciiTheme="minorHAnsi" w:hAnsiTheme="minorHAnsi" w:cs="Arial"/>
                <w:sz w:val="24"/>
                <w:szCs w:val="24"/>
              </w:rPr>
              <w:t>if the grievance is not resolved or no action has been taken within five working days of the meeting, the individual should write to the next level of management, with a copy to the Human Resources department. They should state the details of the grievance, that Stages 1 and 2 have been exhausted and that they wish to pursue the issue further. A meeting will then be arranged within five working days and a full investigation will be undertaken. The outcome of this meeting will be the final decision under the company grievance procedure.</w:t>
            </w:r>
          </w:p>
          <w:p w14:paraId="42B6E7F4"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p>
          <w:p w14:paraId="7DED5181"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p>
          <w:p w14:paraId="145CC836"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p>
          <w:p w14:paraId="46798D51"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p>
          <w:p w14:paraId="402F4420"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p>
          <w:p w14:paraId="70556872"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p>
          <w:p w14:paraId="1794E20A"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p>
          <w:p w14:paraId="45B06097"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p>
          <w:p w14:paraId="1A765B39"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p>
          <w:p w14:paraId="49964F6E"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p>
          <w:p w14:paraId="267211DE" w14:textId="77777777" w:rsidR="0053564C" w:rsidRPr="00B9380B" w:rsidRDefault="0053564C" w:rsidP="00651895">
            <w:pPr>
              <w:pStyle w:val="BodyText"/>
              <w:numPr>
                <w:ilvl w:val="12"/>
                <w:numId w:val="0"/>
              </w:numPr>
              <w:spacing w:after="0" w:line="240" w:lineRule="auto"/>
              <w:rPr>
                <w:rFonts w:asciiTheme="minorHAnsi" w:hAnsiTheme="minorHAnsi" w:cs="Arial"/>
                <w:sz w:val="24"/>
                <w:szCs w:val="24"/>
              </w:rPr>
            </w:pPr>
          </w:p>
          <w:p w14:paraId="01244280" w14:textId="77777777" w:rsidR="002227B0" w:rsidRPr="00B9380B" w:rsidRDefault="002227B0" w:rsidP="00651895">
            <w:pPr>
              <w:spacing w:after="0" w:line="240" w:lineRule="auto"/>
              <w:rPr>
                <w:rFonts w:asciiTheme="minorHAnsi" w:hAnsiTheme="minorHAnsi" w:cs="Arial"/>
                <w:b/>
                <w:sz w:val="24"/>
                <w:szCs w:val="24"/>
              </w:rPr>
            </w:pPr>
          </w:p>
        </w:tc>
      </w:tr>
    </w:tbl>
    <w:p w14:paraId="19507825" w14:textId="77777777" w:rsidR="0053564C" w:rsidRDefault="0053564C" w:rsidP="00B9380B">
      <w:pPr>
        <w:pStyle w:val="Heading1"/>
        <w:spacing w:after="0"/>
        <w:jc w:val="both"/>
        <w:rPr>
          <w:rFonts w:ascii="Verdana" w:hAnsi="Verdana"/>
          <w:sz w:val="20"/>
        </w:rPr>
      </w:pPr>
    </w:p>
    <w:p w14:paraId="3F1DD02D" w14:textId="77777777" w:rsidR="0053564C" w:rsidRDefault="0053564C" w:rsidP="0053564C">
      <w:pPr>
        <w:pStyle w:val="Heading1"/>
        <w:jc w:val="both"/>
        <w:rPr>
          <w:rFonts w:ascii="Verdana" w:hAnsi="Verdana"/>
          <w:sz w:val="20"/>
        </w:rPr>
      </w:pPr>
    </w:p>
    <w:p w14:paraId="75C812AE" w14:textId="77777777" w:rsidR="00A968DC" w:rsidRDefault="00A968DC" w:rsidP="00A968DC"/>
    <w:p w14:paraId="1781903B" w14:textId="3446B05C" w:rsidR="00A968DC" w:rsidRDefault="00A968DC" w:rsidP="00A968DC"/>
    <w:p w14:paraId="16E893B7" w14:textId="7377823C" w:rsidR="001959F1" w:rsidRDefault="001959F1" w:rsidP="00A968DC"/>
    <w:p w14:paraId="4ACC1ED3" w14:textId="13C75534" w:rsidR="001959F1" w:rsidRDefault="001959F1" w:rsidP="00A968DC"/>
    <w:p w14:paraId="611C697B" w14:textId="1A07795D" w:rsidR="001959F1" w:rsidRDefault="001959F1" w:rsidP="00A968DC"/>
    <w:p w14:paraId="2BC7AAEB" w14:textId="25F4D3D0" w:rsidR="001959F1" w:rsidRDefault="001959F1" w:rsidP="00A968DC"/>
    <w:p w14:paraId="3C6E8F41" w14:textId="77777777" w:rsidR="001959F1" w:rsidRDefault="001959F1" w:rsidP="00A968DC"/>
    <w:p w14:paraId="2F807A37" w14:textId="1CF4C2D9" w:rsidR="0053564C" w:rsidRPr="001959F1" w:rsidRDefault="001F17B7" w:rsidP="0053564C">
      <w:pPr>
        <w:pStyle w:val="Heading1"/>
        <w:jc w:val="both"/>
        <w:rPr>
          <w:rFonts w:ascii="Verdana" w:hAnsi="Verdana"/>
          <w:sz w:val="32"/>
          <w:szCs w:val="32"/>
        </w:rPr>
      </w:pPr>
      <w:proofErr w:type="spellStart"/>
      <w:r>
        <w:rPr>
          <w:rFonts w:ascii="Verdana" w:hAnsi="Verdana"/>
          <w:sz w:val="32"/>
          <w:szCs w:val="32"/>
        </w:rPr>
        <w:t>H</w:t>
      </w:r>
      <w:r w:rsidR="0053564C" w:rsidRPr="001959F1">
        <w:rPr>
          <w:rFonts w:ascii="Verdana" w:hAnsi="Verdana"/>
          <w:sz w:val="32"/>
          <w:szCs w:val="32"/>
        </w:rPr>
        <w:t>Roles</w:t>
      </w:r>
      <w:proofErr w:type="spellEnd"/>
      <w:r w:rsidR="0053564C" w:rsidRPr="001959F1">
        <w:rPr>
          <w:rFonts w:ascii="Verdana" w:hAnsi="Verdana"/>
          <w:sz w:val="32"/>
          <w:szCs w:val="32"/>
        </w:rPr>
        <w:t xml:space="preserve"> &amp; Responsibilities</w:t>
      </w:r>
    </w:p>
    <w:p w14:paraId="6EDD64DF" w14:textId="77777777" w:rsidR="0053564C" w:rsidRPr="0053564C" w:rsidRDefault="0053564C" w:rsidP="005356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5611"/>
      </w:tblGrid>
      <w:tr w:rsidR="0053564C" w:rsidRPr="00517AED" w14:paraId="5673AAF0" w14:textId="77777777" w:rsidTr="0053564C">
        <w:tc>
          <w:tcPr>
            <w:tcW w:w="3428" w:type="dxa"/>
            <w:shd w:val="clear" w:color="000000" w:fill="FFFFFF"/>
          </w:tcPr>
          <w:p w14:paraId="3E73B77F" w14:textId="77777777" w:rsidR="0053564C" w:rsidRPr="0053564C" w:rsidRDefault="0053564C" w:rsidP="00677F21">
            <w:pPr>
              <w:jc w:val="both"/>
              <w:rPr>
                <w:rFonts w:ascii="Arial" w:hAnsi="Arial" w:cs="Arial"/>
                <w:b/>
                <w:sz w:val="20"/>
                <w:szCs w:val="20"/>
              </w:rPr>
            </w:pPr>
            <w:r w:rsidRPr="0053564C">
              <w:rPr>
                <w:rFonts w:ascii="Arial" w:hAnsi="Arial" w:cs="Arial"/>
                <w:b/>
                <w:sz w:val="20"/>
                <w:szCs w:val="20"/>
              </w:rPr>
              <w:t>Role</w:t>
            </w:r>
          </w:p>
          <w:p w14:paraId="78535FF8" w14:textId="77777777" w:rsidR="0053564C" w:rsidRPr="0053564C" w:rsidRDefault="0053564C" w:rsidP="00677F21">
            <w:pPr>
              <w:jc w:val="both"/>
              <w:rPr>
                <w:rFonts w:ascii="Arial" w:hAnsi="Arial" w:cs="Arial"/>
                <w:b/>
                <w:sz w:val="20"/>
                <w:szCs w:val="20"/>
              </w:rPr>
            </w:pPr>
          </w:p>
        </w:tc>
        <w:tc>
          <w:tcPr>
            <w:tcW w:w="5611" w:type="dxa"/>
            <w:shd w:val="clear" w:color="000000" w:fill="FFFFFF"/>
          </w:tcPr>
          <w:p w14:paraId="3195AF52" w14:textId="77777777" w:rsidR="0053564C" w:rsidRPr="0053564C" w:rsidRDefault="0053564C" w:rsidP="00677F21">
            <w:pPr>
              <w:jc w:val="both"/>
              <w:rPr>
                <w:rFonts w:ascii="Arial" w:hAnsi="Arial" w:cs="Arial"/>
                <w:b/>
                <w:sz w:val="20"/>
                <w:szCs w:val="20"/>
              </w:rPr>
            </w:pPr>
            <w:r w:rsidRPr="0053564C">
              <w:rPr>
                <w:rFonts w:ascii="Arial" w:hAnsi="Arial" w:cs="Arial"/>
                <w:b/>
                <w:sz w:val="20"/>
                <w:szCs w:val="20"/>
              </w:rPr>
              <w:t>Responsibilities</w:t>
            </w:r>
          </w:p>
        </w:tc>
      </w:tr>
      <w:tr w:rsidR="0053564C" w:rsidRPr="00517AED" w14:paraId="04D82950" w14:textId="77777777" w:rsidTr="0053564C">
        <w:tc>
          <w:tcPr>
            <w:tcW w:w="3428" w:type="dxa"/>
            <w:shd w:val="clear" w:color="000000" w:fill="FFFFFF"/>
          </w:tcPr>
          <w:p w14:paraId="2E71A456" w14:textId="77777777" w:rsidR="0053564C" w:rsidRPr="0053564C" w:rsidRDefault="0053564C" w:rsidP="00677F21">
            <w:pPr>
              <w:jc w:val="both"/>
              <w:rPr>
                <w:rFonts w:ascii="Arial" w:hAnsi="Arial" w:cs="Arial"/>
                <w:sz w:val="20"/>
                <w:szCs w:val="20"/>
              </w:rPr>
            </w:pPr>
            <w:r w:rsidRPr="0053564C">
              <w:rPr>
                <w:rFonts w:ascii="Arial" w:hAnsi="Arial" w:cs="Arial"/>
                <w:sz w:val="20"/>
                <w:szCs w:val="20"/>
              </w:rPr>
              <w:t>Line Manager</w:t>
            </w:r>
          </w:p>
        </w:tc>
        <w:tc>
          <w:tcPr>
            <w:tcW w:w="5611" w:type="dxa"/>
            <w:shd w:val="clear" w:color="000000" w:fill="FFFFFF"/>
          </w:tcPr>
          <w:p w14:paraId="58BA4757" w14:textId="77777777" w:rsidR="0053564C" w:rsidRPr="0053564C" w:rsidRDefault="0053564C" w:rsidP="0053564C">
            <w:pPr>
              <w:pStyle w:val="Bullet"/>
              <w:numPr>
                <w:ilvl w:val="0"/>
                <w:numId w:val="19"/>
              </w:numPr>
              <w:rPr>
                <w:rFonts w:cs="Arial"/>
              </w:rPr>
            </w:pPr>
            <w:r w:rsidRPr="0053564C">
              <w:rPr>
                <w:rFonts w:cs="Arial"/>
              </w:rPr>
              <w:t>The manager will carry out initial investigations to ascertain the facts and where possible seek to resolve an employee dispute without it being necessary for an employee to seek recourse through the formal grievance procedure.</w:t>
            </w:r>
          </w:p>
          <w:p w14:paraId="7D4FB51C" w14:textId="77777777" w:rsidR="0053564C" w:rsidRPr="0053564C" w:rsidRDefault="0053564C" w:rsidP="00677F21">
            <w:pPr>
              <w:pStyle w:val="Bullet"/>
              <w:rPr>
                <w:rFonts w:cs="Arial"/>
              </w:rPr>
            </w:pPr>
            <w:r w:rsidRPr="0053564C">
              <w:rPr>
                <w:rFonts w:cs="Arial"/>
              </w:rPr>
              <w:t>Managers are responsible for ensuring employees are aware of the policy as a means to resolving a dispute if all other attempts at resolution have been exhausted.</w:t>
            </w:r>
          </w:p>
          <w:p w14:paraId="75E3F193" w14:textId="77777777" w:rsidR="0053564C" w:rsidRPr="0053564C" w:rsidRDefault="0053564C" w:rsidP="00677F21">
            <w:pPr>
              <w:pStyle w:val="Bullet"/>
              <w:rPr>
                <w:rFonts w:cs="Arial"/>
              </w:rPr>
            </w:pPr>
            <w:r w:rsidRPr="0053564C">
              <w:rPr>
                <w:rFonts w:cs="Arial"/>
              </w:rPr>
              <w:t>Managers are responsible for taking timely and appropriate action as a consequence of a grievance being raised.</w:t>
            </w:r>
          </w:p>
          <w:p w14:paraId="44B77EBA" w14:textId="77777777" w:rsidR="0053564C" w:rsidRPr="0053564C" w:rsidRDefault="0053564C" w:rsidP="00677F21">
            <w:pPr>
              <w:pStyle w:val="Bullet"/>
              <w:rPr>
                <w:rFonts w:cs="Arial"/>
              </w:rPr>
            </w:pPr>
            <w:r w:rsidRPr="0053564C">
              <w:rPr>
                <w:rFonts w:cs="Arial"/>
              </w:rPr>
              <w:t>Managers will notify employees in writing at each stage of the grievance process taking advice from HR as appropriate.</w:t>
            </w:r>
          </w:p>
          <w:p w14:paraId="4E8575D1" w14:textId="77777777" w:rsidR="0053564C" w:rsidRPr="0053564C" w:rsidRDefault="0053564C" w:rsidP="00677F21">
            <w:pPr>
              <w:pStyle w:val="Bullet"/>
              <w:rPr>
                <w:rFonts w:cs="Arial"/>
              </w:rPr>
            </w:pPr>
            <w:r w:rsidRPr="0053564C">
              <w:rPr>
                <w:rFonts w:cs="Arial"/>
              </w:rPr>
              <w:t xml:space="preserve">When an employee raises a formal grievance in writing to their line manager, it becomes the line manager’s responsibility to arrange a meeting to consider the case with the appropriate person. </w:t>
            </w:r>
          </w:p>
          <w:p w14:paraId="7105C15E" w14:textId="77777777" w:rsidR="0053564C" w:rsidRPr="0053564C" w:rsidRDefault="0053564C" w:rsidP="00677F21">
            <w:pPr>
              <w:jc w:val="both"/>
              <w:rPr>
                <w:rFonts w:ascii="Arial" w:hAnsi="Arial" w:cs="Arial"/>
                <w:sz w:val="20"/>
                <w:szCs w:val="20"/>
              </w:rPr>
            </w:pPr>
          </w:p>
        </w:tc>
      </w:tr>
      <w:tr w:rsidR="0053564C" w:rsidRPr="00517AED" w14:paraId="30106F8B" w14:textId="77777777" w:rsidTr="0053564C">
        <w:tc>
          <w:tcPr>
            <w:tcW w:w="3428" w:type="dxa"/>
            <w:shd w:val="clear" w:color="000000" w:fill="FFFFFF"/>
          </w:tcPr>
          <w:p w14:paraId="73B5A6C5" w14:textId="77777777" w:rsidR="0053564C" w:rsidRPr="0053564C" w:rsidRDefault="002B730D" w:rsidP="00677F21">
            <w:pPr>
              <w:jc w:val="both"/>
              <w:rPr>
                <w:rFonts w:ascii="Arial" w:hAnsi="Arial" w:cs="Arial"/>
                <w:sz w:val="20"/>
                <w:szCs w:val="20"/>
              </w:rPr>
            </w:pPr>
            <w:r>
              <w:rPr>
                <w:rFonts w:ascii="Arial" w:hAnsi="Arial" w:cs="Arial"/>
                <w:sz w:val="20"/>
                <w:szCs w:val="20"/>
              </w:rPr>
              <w:t>Senior Management / Board rep.</w:t>
            </w:r>
          </w:p>
        </w:tc>
        <w:tc>
          <w:tcPr>
            <w:tcW w:w="5611" w:type="dxa"/>
            <w:shd w:val="clear" w:color="000000" w:fill="FFFFFF"/>
          </w:tcPr>
          <w:p w14:paraId="1ACBC310" w14:textId="77777777" w:rsidR="0053564C" w:rsidRPr="0053564C" w:rsidRDefault="0053564C" w:rsidP="00677F21">
            <w:pPr>
              <w:pStyle w:val="Bullet"/>
              <w:rPr>
                <w:rFonts w:cs="Arial"/>
              </w:rPr>
            </w:pPr>
            <w:r w:rsidRPr="0053564C">
              <w:rPr>
                <w:rFonts w:cs="Arial"/>
              </w:rPr>
              <w:t>Reviewing the policy in the light of changes that might affect the Company as a result of legislation, directives and codes of practice.</w:t>
            </w:r>
          </w:p>
          <w:p w14:paraId="1606FB15" w14:textId="77777777" w:rsidR="0053564C" w:rsidRPr="0053564C" w:rsidRDefault="0053564C" w:rsidP="00677F21">
            <w:pPr>
              <w:pStyle w:val="Bullet"/>
              <w:rPr>
                <w:rFonts w:cs="Arial"/>
              </w:rPr>
            </w:pPr>
            <w:r w:rsidRPr="0053564C">
              <w:rPr>
                <w:rFonts w:cs="Arial"/>
              </w:rPr>
              <w:t>Providing advice and guidance on the application of the policy.</w:t>
            </w:r>
          </w:p>
          <w:p w14:paraId="24DB05EF" w14:textId="77777777" w:rsidR="0053564C" w:rsidRPr="0053564C" w:rsidRDefault="0053564C" w:rsidP="00677F21">
            <w:pPr>
              <w:pStyle w:val="Bullet"/>
              <w:rPr>
                <w:rFonts w:cs="Arial"/>
              </w:rPr>
            </w:pPr>
            <w:r w:rsidRPr="0053564C">
              <w:rPr>
                <w:rFonts w:cs="Arial"/>
              </w:rPr>
              <w:t xml:space="preserve">People Services will issue the grievance policy to all members of staff through the Company Intranet. </w:t>
            </w:r>
          </w:p>
          <w:p w14:paraId="017F693C" w14:textId="77777777" w:rsidR="0053564C" w:rsidRPr="0053564C" w:rsidRDefault="0053564C" w:rsidP="00677F21">
            <w:pPr>
              <w:pStyle w:val="Bullet"/>
              <w:rPr>
                <w:rFonts w:cs="Arial"/>
              </w:rPr>
            </w:pPr>
            <w:r w:rsidRPr="0053564C">
              <w:rPr>
                <w:rFonts w:cs="Arial"/>
              </w:rPr>
              <w:t xml:space="preserve">HR will keep a written record of all correspondence relating to an employee grievance including minutes of hearings.   </w:t>
            </w:r>
          </w:p>
          <w:p w14:paraId="0FF4DA3F" w14:textId="77777777" w:rsidR="0053564C" w:rsidRPr="0053564C" w:rsidRDefault="0053564C" w:rsidP="00677F21">
            <w:pPr>
              <w:pStyle w:val="Bullet"/>
              <w:rPr>
                <w:rFonts w:cs="Arial"/>
              </w:rPr>
            </w:pPr>
            <w:r w:rsidRPr="0053564C">
              <w:rPr>
                <w:rFonts w:cs="Arial"/>
              </w:rPr>
              <w:t xml:space="preserve">In the case of a “final stage” grievance hearing, a HR representative will attend the hearing together with another senior manager. </w:t>
            </w:r>
          </w:p>
          <w:p w14:paraId="3F656640" w14:textId="77777777" w:rsidR="0053564C" w:rsidRPr="0053564C" w:rsidRDefault="0053564C" w:rsidP="00677F21">
            <w:pPr>
              <w:jc w:val="both"/>
              <w:rPr>
                <w:rFonts w:ascii="Arial" w:hAnsi="Arial" w:cs="Arial"/>
                <w:sz w:val="20"/>
                <w:szCs w:val="20"/>
              </w:rPr>
            </w:pPr>
          </w:p>
        </w:tc>
      </w:tr>
    </w:tbl>
    <w:p w14:paraId="0193F1D4" w14:textId="77777777" w:rsidR="00044E60" w:rsidRDefault="00044E60" w:rsidP="00044E60">
      <w:pPr>
        <w:spacing w:after="0"/>
        <w:rPr>
          <w:rFonts w:asciiTheme="minorHAnsi" w:hAnsiTheme="minorHAnsi" w:cs="Arial"/>
          <w:sz w:val="24"/>
          <w:szCs w:val="24"/>
        </w:rPr>
      </w:pPr>
    </w:p>
    <w:p w14:paraId="3C0ED56B" w14:textId="77777777" w:rsidR="009C19CD" w:rsidRDefault="009C19CD" w:rsidP="009C19CD">
      <w:pPr>
        <w:pStyle w:val="Blockquote"/>
        <w:spacing w:after="0"/>
        <w:ind w:right="720"/>
        <w:rPr>
          <w:rFonts w:asciiTheme="minorHAnsi" w:hAnsiTheme="minorHAnsi" w:cstheme="minorHAnsi"/>
          <w:sz w:val="20"/>
        </w:rPr>
      </w:pPr>
      <w:r>
        <w:rPr>
          <w:rFonts w:asciiTheme="minorHAnsi" w:hAnsiTheme="minorHAnsi" w:cstheme="minorHAnsi"/>
          <w:sz w:val="20"/>
        </w:rPr>
        <w:t xml:space="preserve">Approved By: Euan Oattes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Date: 01.08.2022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201E2B96" w14:textId="77777777" w:rsidR="009C19CD" w:rsidRDefault="009C19CD" w:rsidP="009C19CD">
      <w:pPr>
        <w:pStyle w:val="Blockquote"/>
        <w:spacing w:after="0"/>
        <w:ind w:right="720"/>
        <w:rPr>
          <w:rFonts w:asciiTheme="minorHAnsi" w:hAnsiTheme="minorHAnsi" w:cstheme="minorHAnsi"/>
          <w:sz w:val="20"/>
        </w:rPr>
      </w:pPr>
    </w:p>
    <w:p w14:paraId="407AD86F" w14:textId="77777777" w:rsidR="009C19CD" w:rsidRPr="00A53024" w:rsidRDefault="009C19CD" w:rsidP="009C19CD">
      <w:pPr>
        <w:pStyle w:val="Blockquote"/>
        <w:spacing w:after="0"/>
        <w:ind w:right="720"/>
        <w:rPr>
          <w:rFonts w:ascii="Calibri" w:hAnsi="Calibri" w:cs="Calibri"/>
          <w:sz w:val="20"/>
          <w:lang w:val="da-DK"/>
        </w:rPr>
      </w:pPr>
      <w:proofErr w:type="spellStart"/>
      <w:r w:rsidRPr="00A53024">
        <w:rPr>
          <w:rFonts w:asciiTheme="minorHAnsi" w:hAnsiTheme="minorHAnsi" w:cstheme="minorHAnsi"/>
          <w:sz w:val="20"/>
          <w:lang w:val="da-DK"/>
        </w:rPr>
        <w:t>Signed</w:t>
      </w:r>
      <w:proofErr w:type="spellEnd"/>
      <w:r w:rsidRPr="00A53024">
        <w:rPr>
          <w:rFonts w:asciiTheme="minorHAnsi" w:hAnsiTheme="minorHAnsi" w:cstheme="minorHAnsi"/>
          <w:sz w:val="20"/>
          <w:lang w:val="da-DK"/>
        </w:rPr>
        <w:t xml:space="preserve">: </w:t>
      </w:r>
      <w:r w:rsidRPr="00A53024">
        <w:rPr>
          <w:rFonts w:ascii="Ink Free" w:hAnsi="Ink Free" w:cstheme="minorHAnsi"/>
          <w:color w:val="4472C4" w:themeColor="accent5"/>
          <w:sz w:val="28"/>
          <w:szCs w:val="28"/>
          <w:lang w:val="da-DK"/>
        </w:rPr>
        <w:t>Euan D. Oattes</w:t>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Calibri" w:hAnsi="Calibri" w:cs="Calibri"/>
          <w:sz w:val="20"/>
          <w:lang w:val="da-DK"/>
        </w:rPr>
        <w:t>Revision</w:t>
      </w:r>
      <w:r>
        <w:rPr>
          <w:rFonts w:ascii="Calibri" w:hAnsi="Calibri" w:cs="Calibri"/>
          <w:sz w:val="20"/>
          <w:lang w:val="da-DK"/>
        </w:rPr>
        <w:t>: 01.08.2023</w:t>
      </w:r>
    </w:p>
    <w:p w14:paraId="21E862A0" w14:textId="77777777" w:rsidR="00BA6615" w:rsidRDefault="00BA6615" w:rsidP="001F17B7"/>
    <w:sectPr w:rsidR="00BA6615" w:rsidSect="00A74C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6461" w14:textId="77777777" w:rsidR="00DD2769" w:rsidRDefault="00DD2769" w:rsidP="007A5B50">
      <w:pPr>
        <w:spacing w:after="0" w:line="240" w:lineRule="auto"/>
      </w:pPr>
      <w:r>
        <w:separator/>
      </w:r>
    </w:p>
  </w:endnote>
  <w:endnote w:type="continuationSeparator" w:id="0">
    <w:p w14:paraId="1710DE1A" w14:textId="77777777" w:rsidR="00DD2769" w:rsidRDefault="00DD2769" w:rsidP="007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80"/>
      <w:gridCol w:w="3081"/>
      <w:gridCol w:w="3081"/>
    </w:tblGrid>
    <w:tr w:rsidR="001959F1" w14:paraId="14C176E7" w14:textId="77777777" w:rsidTr="00434C61">
      <w:tc>
        <w:tcPr>
          <w:tcW w:w="3080" w:type="dxa"/>
          <w:shd w:val="clear" w:color="auto" w:fill="5B9BD5" w:themeFill="accent1"/>
        </w:tcPr>
        <w:p w14:paraId="70231E43" w14:textId="77777777" w:rsidR="001959F1" w:rsidRPr="005C7968" w:rsidRDefault="001959F1" w:rsidP="001959F1">
          <w:pPr>
            <w:pStyle w:val="Footer"/>
            <w:rPr>
              <w:sz w:val="20"/>
              <w:szCs w:val="20"/>
            </w:rPr>
          </w:pPr>
          <w:r w:rsidRPr="005C7968">
            <w:rPr>
              <w:sz w:val="20"/>
              <w:szCs w:val="20"/>
            </w:rPr>
            <w:t>Document Name:</w:t>
          </w:r>
        </w:p>
        <w:p w14:paraId="0E4CF292" w14:textId="679D89E0" w:rsidR="001959F1" w:rsidRPr="005C7968" w:rsidRDefault="001959F1" w:rsidP="001959F1">
          <w:pPr>
            <w:pStyle w:val="Footer"/>
            <w:rPr>
              <w:sz w:val="20"/>
              <w:szCs w:val="20"/>
            </w:rPr>
          </w:pPr>
          <w:r>
            <w:rPr>
              <w:sz w:val="20"/>
              <w:szCs w:val="20"/>
            </w:rPr>
            <w:t xml:space="preserve"> Policy</w:t>
          </w:r>
        </w:p>
      </w:tc>
      <w:tc>
        <w:tcPr>
          <w:tcW w:w="3081" w:type="dxa"/>
          <w:shd w:val="clear" w:color="auto" w:fill="5B9BD5" w:themeFill="accent1"/>
        </w:tcPr>
        <w:p w14:paraId="390272D4" w14:textId="77777777" w:rsidR="001959F1" w:rsidRPr="005C7968" w:rsidRDefault="001959F1" w:rsidP="001959F1">
          <w:pPr>
            <w:pStyle w:val="Footer"/>
            <w:rPr>
              <w:sz w:val="20"/>
              <w:szCs w:val="20"/>
            </w:rPr>
          </w:pPr>
          <w:r w:rsidRPr="005C7968">
            <w:rPr>
              <w:sz w:val="20"/>
              <w:szCs w:val="20"/>
            </w:rPr>
            <w:t>Document Reference:</w:t>
          </w:r>
        </w:p>
        <w:p w14:paraId="2DFBF3CD" w14:textId="2665F6C5" w:rsidR="001959F1" w:rsidRPr="005C7968" w:rsidRDefault="004623C5" w:rsidP="001959F1">
          <w:pPr>
            <w:pStyle w:val="Footer"/>
            <w:rPr>
              <w:sz w:val="20"/>
              <w:szCs w:val="20"/>
            </w:rPr>
          </w:pPr>
          <w:r>
            <w:rPr>
              <w:sz w:val="20"/>
              <w:szCs w:val="20"/>
            </w:rPr>
            <w:t>TC</w:t>
          </w:r>
          <w:r w:rsidR="001959F1" w:rsidRPr="005C7968">
            <w:rPr>
              <w:sz w:val="20"/>
              <w:szCs w:val="20"/>
            </w:rPr>
            <w:t>/</w:t>
          </w:r>
          <w:r w:rsidR="001959F1">
            <w:rPr>
              <w:sz w:val="20"/>
              <w:szCs w:val="20"/>
            </w:rPr>
            <w:t>CL</w:t>
          </w:r>
          <w:r w:rsidR="001959F1" w:rsidRPr="005C7968">
            <w:rPr>
              <w:sz w:val="20"/>
              <w:szCs w:val="20"/>
            </w:rPr>
            <w:t>-1.</w:t>
          </w:r>
          <w:r>
            <w:rPr>
              <w:sz w:val="20"/>
              <w:szCs w:val="20"/>
            </w:rPr>
            <w:t>7</w:t>
          </w:r>
        </w:p>
      </w:tc>
      <w:tc>
        <w:tcPr>
          <w:tcW w:w="3081" w:type="dxa"/>
          <w:shd w:val="clear" w:color="auto" w:fill="5B9BD5" w:themeFill="accent1"/>
        </w:tcPr>
        <w:p w14:paraId="35C4CF92" w14:textId="77777777" w:rsidR="001959F1" w:rsidRPr="005C7968" w:rsidRDefault="001959F1" w:rsidP="001959F1">
          <w:pPr>
            <w:pStyle w:val="Footer"/>
            <w:rPr>
              <w:sz w:val="20"/>
              <w:szCs w:val="20"/>
            </w:rPr>
          </w:pPr>
          <w:r w:rsidRPr="005C7968">
            <w:rPr>
              <w:sz w:val="20"/>
              <w:szCs w:val="20"/>
            </w:rPr>
            <w:t>Revision No./Date:</w:t>
          </w:r>
        </w:p>
        <w:p w14:paraId="5A5BF48C" w14:textId="382AA8C4" w:rsidR="001959F1" w:rsidRPr="005C7968" w:rsidRDefault="004623C5" w:rsidP="001959F1">
          <w:pPr>
            <w:pStyle w:val="Footer"/>
            <w:rPr>
              <w:sz w:val="20"/>
              <w:szCs w:val="20"/>
            </w:rPr>
          </w:pPr>
          <w:r>
            <w:rPr>
              <w:sz w:val="20"/>
              <w:szCs w:val="20"/>
            </w:rPr>
            <w:t>1-</w:t>
          </w:r>
          <w:r w:rsidR="00353357">
            <w:rPr>
              <w:sz w:val="20"/>
              <w:szCs w:val="20"/>
            </w:rPr>
            <w:t>A</w:t>
          </w:r>
          <w:r w:rsidR="001F17B7">
            <w:rPr>
              <w:sz w:val="20"/>
              <w:szCs w:val="20"/>
            </w:rPr>
            <w:t>ugust</w:t>
          </w:r>
          <w:r w:rsidR="001959F1">
            <w:rPr>
              <w:sz w:val="20"/>
              <w:szCs w:val="20"/>
            </w:rPr>
            <w:t xml:space="preserve"> 2022</w:t>
          </w:r>
        </w:p>
      </w:tc>
    </w:tr>
  </w:tbl>
  <w:p w14:paraId="212DF3E5" w14:textId="77777777" w:rsidR="007A5B50" w:rsidRDefault="007A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189C" w14:textId="77777777" w:rsidR="00DD2769" w:rsidRDefault="00DD2769" w:rsidP="007A5B50">
      <w:pPr>
        <w:spacing w:after="0" w:line="240" w:lineRule="auto"/>
      </w:pPr>
      <w:r>
        <w:separator/>
      </w:r>
    </w:p>
  </w:footnote>
  <w:footnote w:type="continuationSeparator" w:id="0">
    <w:p w14:paraId="1B868EFB" w14:textId="77777777" w:rsidR="00DD2769" w:rsidRDefault="00DD2769" w:rsidP="007A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ook w:val="04A0" w:firstRow="1" w:lastRow="0" w:firstColumn="1" w:lastColumn="0" w:noHBand="0" w:noVBand="1"/>
    </w:tblPr>
    <w:tblGrid>
      <w:gridCol w:w="4616"/>
      <w:gridCol w:w="4626"/>
    </w:tblGrid>
    <w:tr w:rsidR="001959F1" w:rsidRPr="001959F1" w14:paraId="45F92802" w14:textId="77777777" w:rsidTr="00434C61">
      <w:tc>
        <w:tcPr>
          <w:tcW w:w="5949" w:type="dxa"/>
          <w:shd w:val="clear" w:color="auto" w:fill="5B9BD5" w:themeFill="accent1"/>
        </w:tcPr>
        <w:p w14:paraId="72426732" w14:textId="6EA29FA1" w:rsidR="001959F1" w:rsidRPr="001959F1" w:rsidRDefault="001959F1" w:rsidP="001959F1">
          <w:pPr>
            <w:pStyle w:val="ListParagraph"/>
            <w:numPr>
              <w:ilvl w:val="1"/>
              <w:numId w:val="21"/>
            </w:numPr>
            <w:spacing w:after="0" w:line="240" w:lineRule="auto"/>
            <w:rPr>
              <w:rFonts w:asciiTheme="majorHAnsi" w:eastAsiaTheme="minorHAnsi" w:hAnsiTheme="majorHAnsi" w:cstheme="majorHAnsi"/>
              <w:b/>
              <w:bCs/>
              <w:sz w:val="32"/>
              <w:szCs w:val="32"/>
            </w:rPr>
          </w:pPr>
          <w:r>
            <w:rPr>
              <w:rFonts w:asciiTheme="majorHAnsi" w:eastAsiaTheme="minorHAnsi" w:hAnsiTheme="majorHAnsi" w:cstheme="majorHAnsi"/>
              <w:b/>
              <w:bCs/>
              <w:sz w:val="32"/>
              <w:szCs w:val="32"/>
            </w:rPr>
            <w:t xml:space="preserve">Grievance </w:t>
          </w:r>
          <w:r w:rsidRPr="001959F1">
            <w:rPr>
              <w:rFonts w:asciiTheme="majorHAnsi" w:eastAsiaTheme="minorHAnsi" w:hAnsiTheme="majorHAnsi" w:cstheme="majorHAnsi"/>
              <w:b/>
              <w:bCs/>
              <w:sz w:val="32"/>
              <w:szCs w:val="32"/>
            </w:rPr>
            <w:t>Policy</w:t>
          </w:r>
        </w:p>
        <w:p w14:paraId="787DD342" w14:textId="77777777" w:rsidR="001959F1" w:rsidRPr="001959F1" w:rsidRDefault="001959F1" w:rsidP="001959F1">
          <w:pPr>
            <w:spacing w:after="0" w:line="240" w:lineRule="auto"/>
            <w:ind w:left="720"/>
            <w:rPr>
              <w:rFonts w:asciiTheme="majorHAnsi" w:eastAsiaTheme="minorHAnsi" w:hAnsiTheme="majorHAnsi" w:cstheme="majorHAnsi"/>
              <w:b/>
              <w:bCs/>
              <w:sz w:val="32"/>
              <w:szCs w:val="32"/>
            </w:rPr>
          </w:pPr>
        </w:p>
      </w:tc>
      <w:tc>
        <w:tcPr>
          <w:tcW w:w="3067" w:type="dxa"/>
        </w:tcPr>
        <w:p w14:paraId="0E1E92FA" w14:textId="45DAA46D" w:rsidR="001959F1" w:rsidRPr="001959F1" w:rsidRDefault="004623C5" w:rsidP="001959F1">
          <w:pPr>
            <w:spacing w:after="0" w:line="240" w:lineRule="auto"/>
            <w:rPr>
              <w:rFonts w:asciiTheme="minorHAnsi" w:eastAsiaTheme="minorHAnsi" w:hAnsiTheme="minorHAnsi" w:cstheme="minorBidi"/>
            </w:rPr>
          </w:pPr>
          <w:r>
            <w:rPr>
              <w:noProof/>
            </w:rPr>
            <w:drawing>
              <wp:inline distT="0" distB="0" distL="0" distR="0" wp14:anchorId="6FE2C096" wp14:editId="4623CACC">
                <wp:extent cx="2800350" cy="679375"/>
                <wp:effectExtent l="0" t="0" r="0" b="0"/>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37272" cy="688332"/>
                        </a:xfrm>
                        <a:prstGeom prst="rect">
                          <a:avLst/>
                        </a:prstGeom>
                      </pic:spPr>
                    </pic:pic>
                  </a:graphicData>
                </a:graphic>
              </wp:inline>
            </w:drawing>
          </w:r>
        </w:p>
      </w:tc>
    </w:tr>
  </w:tbl>
  <w:p w14:paraId="32FB4CC7" w14:textId="77777777" w:rsidR="007A5B50" w:rsidRDefault="007A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D9C0728"/>
    <w:lvl w:ilvl="0">
      <w:numFmt w:val="decimal"/>
      <w:pStyle w:val="Bullet"/>
      <w:lvlText w:val="*"/>
      <w:lvlJc w:val="left"/>
    </w:lvl>
  </w:abstractNum>
  <w:abstractNum w:abstractNumId="1" w15:restartNumberingAfterBreak="0">
    <w:nsid w:val="07515A12"/>
    <w:multiLevelType w:val="hybridMultilevel"/>
    <w:tmpl w:val="E8640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4041A"/>
    <w:multiLevelType w:val="hybridMultilevel"/>
    <w:tmpl w:val="E8E096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0248C"/>
    <w:multiLevelType w:val="hybridMultilevel"/>
    <w:tmpl w:val="107E2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C1A07"/>
    <w:multiLevelType w:val="hybridMultilevel"/>
    <w:tmpl w:val="716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17D97"/>
    <w:multiLevelType w:val="hybridMultilevel"/>
    <w:tmpl w:val="1B968D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B259D7"/>
    <w:multiLevelType w:val="hybridMultilevel"/>
    <w:tmpl w:val="CBEE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A2FD0"/>
    <w:multiLevelType w:val="multilevel"/>
    <w:tmpl w:val="E2046D48"/>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ED1B1B"/>
    <w:multiLevelType w:val="multilevel"/>
    <w:tmpl w:val="4042962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3AF206C7"/>
    <w:multiLevelType w:val="multilevel"/>
    <w:tmpl w:val="8280FA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096655"/>
    <w:multiLevelType w:val="multilevel"/>
    <w:tmpl w:val="404296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12D70AB"/>
    <w:multiLevelType w:val="multilevel"/>
    <w:tmpl w:val="C9B24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38D1FA8"/>
    <w:multiLevelType w:val="multilevel"/>
    <w:tmpl w:val="77FEE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FE0B60"/>
    <w:multiLevelType w:val="multilevel"/>
    <w:tmpl w:val="37D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50846"/>
    <w:multiLevelType w:val="hybridMultilevel"/>
    <w:tmpl w:val="0D4E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BE1309"/>
    <w:multiLevelType w:val="hybridMultilevel"/>
    <w:tmpl w:val="CFE2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90768"/>
    <w:multiLevelType w:val="hybridMultilevel"/>
    <w:tmpl w:val="9724D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E4D33"/>
    <w:multiLevelType w:val="hybridMultilevel"/>
    <w:tmpl w:val="A862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F235B"/>
    <w:multiLevelType w:val="hybridMultilevel"/>
    <w:tmpl w:val="B762E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B27E9A"/>
    <w:multiLevelType w:val="hybridMultilevel"/>
    <w:tmpl w:val="68725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0796988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6128822">
    <w:abstractNumId w:val="5"/>
  </w:num>
  <w:num w:numId="3" w16cid:durableId="817452714">
    <w:abstractNumId w:val="16"/>
  </w:num>
  <w:num w:numId="4" w16cid:durableId="532815291">
    <w:abstractNumId w:val="1"/>
  </w:num>
  <w:num w:numId="5" w16cid:durableId="2026667337">
    <w:abstractNumId w:val="19"/>
  </w:num>
  <w:num w:numId="6" w16cid:durableId="622538257">
    <w:abstractNumId w:val="18"/>
  </w:num>
  <w:num w:numId="7" w16cid:durableId="2064332418">
    <w:abstractNumId w:val="14"/>
  </w:num>
  <w:num w:numId="8" w16cid:durableId="1649821853">
    <w:abstractNumId w:val="8"/>
  </w:num>
  <w:num w:numId="9" w16cid:durableId="1129204326">
    <w:abstractNumId w:val="10"/>
  </w:num>
  <w:num w:numId="10" w16cid:durableId="101652669">
    <w:abstractNumId w:val="12"/>
  </w:num>
  <w:num w:numId="11" w16cid:durableId="399134439">
    <w:abstractNumId w:val="13"/>
  </w:num>
  <w:num w:numId="12" w16cid:durableId="676469331">
    <w:abstractNumId w:val="17"/>
  </w:num>
  <w:num w:numId="13" w16cid:durableId="676690207">
    <w:abstractNumId w:val="2"/>
  </w:num>
  <w:num w:numId="14" w16cid:durableId="666516080">
    <w:abstractNumId w:val="3"/>
  </w:num>
  <w:num w:numId="15" w16cid:durableId="1180781148">
    <w:abstractNumId w:val="6"/>
  </w:num>
  <w:num w:numId="16" w16cid:durableId="1236865121">
    <w:abstractNumId w:val="4"/>
  </w:num>
  <w:num w:numId="17" w16cid:durableId="935593996">
    <w:abstractNumId w:val="15"/>
  </w:num>
  <w:num w:numId="18" w16cid:durableId="88819771">
    <w:abstractNumId w:val="0"/>
    <w:lvlOverride w:ilvl="0">
      <w:lvl w:ilvl="0">
        <w:start w:val="1"/>
        <w:numFmt w:val="bullet"/>
        <w:pStyle w:val="Bullet"/>
        <w:lvlText w:val=""/>
        <w:legacy w:legacy="1" w:legacySpace="0" w:legacyIndent="360"/>
        <w:lvlJc w:val="left"/>
        <w:pPr>
          <w:ind w:left="405" w:hanging="360"/>
        </w:pPr>
        <w:rPr>
          <w:rFonts w:ascii="Symbol" w:hAnsi="Symbol" w:hint="default"/>
        </w:rPr>
      </w:lvl>
    </w:lvlOverride>
  </w:num>
  <w:num w:numId="19" w16cid:durableId="285354352">
    <w:abstractNumId w:val="0"/>
    <w:lvlOverride w:ilvl="0">
      <w:lvl w:ilvl="0">
        <w:numFmt w:val="bullet"/>
        <w:pStyle w:val="Bullet"/>
        <w:lvlText w:val=""/>
        <w:legacy w:legacy="1" w:legacySpace="0" w:legacyIndent="360"/>
        <w:lvlJc w:val="left"/>
        <w:pPr>
          <w:ind w:left="405" w:hanging="360"/>
        </w:pPr>
        <w:rPr>
          <w:rFonts w:ascii="Symbol" w:hAnsi="Symbol" w:hint="default"/>
        </w:rPr>
      </w:lvl>
    </w:lvlOverride>
  </w:num>
  <w:num w:numId="20" w16cid:durableId="1103722557">
    <w:abstractNumId w:val="9"/>
  </w:num>
  <w:num w:numId="21" w16cid:durableId="21148563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B50"/>
    <w:rsid w:val="00017058"/>
    <w:rsid w:val="00044E60"/>
    <w:rsid w:val="00082101"/>
    <w:rsid w:val="00084EE5"/>
    <w:rsid w:val="001959F1"/>
    <w:rsid w:val="001E2B46"/>
    <w:rsid w:val="001F17B7"/>
    <w:rsid w:val="0022222A"/>
    <w:rsid w:val="002227B0"/>
    <w:rsid w:val="002523E8"/>
    <w:rsid w:val="002921C6"/>
    <w:rsid w:val="002B730D"/>
    <w:rsid w:val="003267E5"/>
    <w:rsid w:val="00327082"/>
    <w:rsid w:val="00332666"/>
    <w:rsid w:val="00353357"/>
    <w:rsid w:val="003E34B9"/>
    <w:rsid w:val="004623C5"/>
    <w:rsid w:val="0053564C"/>
    <w:rsid w:val="006400DD"/>
    <w:rsid w:val="00651895"/>
    <w:rsid w:val="00745B4F"/>
    <w:rsid w:val="007848B2"/>
    <w:rsid w:val="007A5B50"/>
    <w:rsid w:val="007B7C83"/>
    <w:rsid w:val="007E6BF9"/>
    <w:rsid w:val="0086040A"/>
    <w:rsid w:val="008B4D74"/>
    <w:rsid w:val="008C1324"/>
    <w:rsid w:val="0096495E"/>
    <w:rsid w:val="009C19CD"/>
    <w:rsid w:val="00A74C3B"/>
    <w:rsid w:val="00A968DC"/>
    <w:rsid w:val="00B2311F"/>
    <w:rsid w:val="00B43F68"/>
    <w:rsid w:val="00B9380B"/>
    <w:rsid w:val="00BA6615"/>
    <w:rsid w:val="00BE76F9"/>
    <w:rsid w:val="00D430FB"/>
    <w:rsid w:val="00D874C6"/>
    <w:rsid w:val="00DD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AFFEA"/>
  <w15:docId w15:val="{B708AB2A-2A3E-462E-B213-19906A8F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5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523E8"/>
    <w:pPr>
      <w:keepNext/>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link w:val="Heading2Char"/>
    <w:qFormat/>
    <w:rsid w:val="002523E8"/>
    <w:pPr>
      <w:keepNext/>
      <w:spacing w:after="0" w:line="240" w:lineRule="auto"/>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5B50"/>
    <w:pPr>
      <w:tabs>
        <w:tab w:val="center" w:pos="4513"/>
        <w:tab w:val="right" w:pos="9026"/>
      </w:tabs>
      <w:spacing w:after="0" w:line="240" w:lineRule="auto"/>
    </w:pPr>
  </w:style>
  <w:style w:type="character" w:customStyle="1" w:styleId="HeaderChar">
    <w:name w:val="Header Char"/>
    <w:basedOn w:val="DefaultParagraphFont"/>
    <w:link w:val="Header"/>
    <w:rsid w:val="007A5B50"/>
  </w:style>
  <w:style w:type="paragraph" w:styleId="Footer">
    <w:name w:val="footer"/>
    <w:basedOn w:val="Normal"/>
    <w:link w:val="FooterChar"/>
    <w:uiPriority w:val="99"/>
    <w:unhideWhenUsed/>
    <w:rsid w:val="007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50"/>
  </w:style>
  <w:style w:type="table" w:styleId="TableGrid">
    <w:name w:val="Table Grid"/>
    <w:basedOn w:val="TableNormal"/>
    <w:uiPriority w:val="39"/>
    <w:rsid w:val="007A5B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45B4F"/>
    <w:pPr>
      <w:spacing w:after="0" w:line="240" w:lineRule="auto"/>
    </w:pPr>
    <w:rPr>
      <w:rFonts w:ascii="Times New Roman" w:eastAsia="Times New Roman" w:hAnsi="Times New Roman"/>
      <w:szCs w:val="20"/>
      <w:lang w:eastAsia="en-GB"/>
    </w:rPr>
  </w:style>
  <w:style w:type="character" w:customStyle="1" w:styleId="BodyText2Char">
    <w:name w:val="Body Text 2 Char"/>
    <w:basedOn w:val="DefaultParagraphFont"/>
    <w:link w:val="BodyText2"/>
    <w:rsid w:val="00745B4F"/>
    <w:rPr>
      <w:rFonts w:ascii="Times New Roman" w:eastAsia="Times New Roman" w:hAnsi="Times New Roman" w:cs="Times New Roman"/>
      <w:szCs w:val="20"/>
      <w:lang w:eastAsia="en-GB"/>
    </w:rPr>
  </w:style>
  <w:style w:type="paragraph" w:styleId="FootnoteText">
    <w:name w:val="footnote text"/>
    <w:basedOn w:val="Normal"/>
    <w:link w:val="FootnoteTextChar"/>
    <w:semiHidden/>
    <w:rsid w:val="00745B4F"/>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745B4F"/>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745B4F"/>
    <w:rPr>
      <w:vertAlign w:val="superscript"/>
    </w:rPr>
  </w:style>
  <w:style w:type="character" w:styleId="Hyperlink">
    <w:name w:val="Hyperlink"/>
    <w:basedOn w:val="DefaultParagraphFont"/>
    <w:uiPriority w:val="99"/>
    <w:unhideWhenUsed/>
    <w:rsid w:val="00B43F68"/>
    <w:rPr>
      <w:strike w:val="0"/>
      <w:dstrike w:val="0"/>
      <w:color w:val="0000FF"/>
      <w:u w:val="none"/>
      <w:effect w:val="none"/>
    </w:rPr>
  </w:style>
  <w:style w:type="paragraph" w:styleId="BodyText">
    <w:name w:val="Body Text"/>
    <w:basedOn w:val="Normal"/>
    <w:link w:val="BodyTextChar"/>
    <w:uiPriority w:val="99"/>
    <w:semiHidden/>
    <w:unhideWhenUsed/>
    <w:rsid w:val="002523E8"/>
    <w:pPr>
      <w:spacing w:after="120"/>
    </w:pPr>
  </w:style>
  <w:style w:type="character" w:customStyle="1" w:styleId="BodyTextChar">
    <w:name w:val="Body Text Char"/>
    <w:basedOn w:val="DefaultParagraphFont"/>
    <w:link w:val="BodyText"/>
    <w:uiPriority w:val="99"/>
    <w:semiHidden/>
    <w:rsid w:val="002523E8"/>
    <w:rPr>
      <w:rFonts w:ascii="Calibri" w:eastAsia="Calibri" w:hAnsi="Calibri" w:cs="Times New Roman"/>
    </w:rPr>
  </w:style>
  <w:style w:type="character" w:customStyle="1" w:styleId="Heading1Char">
    <w:name w:val="Heading 1 Char"/>
    <w:basedOn w:val="DefaultParagraphFont"/>
    <w:link w:val="Heading1"/>
    <w:rsid w:val="002523E8"/>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523E8"/>
    <w:rPr>
      <w:rFonts w:ascii="Arial" w:eastAsia="Times New Roman" w:hAnsi="Arial" w:cs="Times New Roman"/>
      <w:b/>
      <w:sz w:val="24"/>
      <w:szCs w:val="20"/>
    </w:rPr>
  </w:style>
  <w:style w:type="paragraph" w:styleId="NormalWeb">
    <w:name w:val="Normal (Web)"/>
    <w:basedOn w:val="Normal"/>
    <w:rsid w:val="007B7C83"/>
    <w:pPr>
      <w:spacing w:before="100" w:beforeAutospacing="1" w:after="100" w:afterAutospacing="1" w:line="240" w:lineRule="auto"/>
    </w:pPr>
    <w:rPr>
      <w:rFonts w:ascii="Verdana" w:eastAsia="Times New Roman" w:hAnsi="Verdana"/>
      <w:color w:val="003366"/>
      <w:sz w:val="18"/>
      <w:szCs w:val="18"/>
      <w:lang w:val="en-US"/>
    </w:rPr>
  </w:style>
  <w:style w:type="paragraph" w:customStyle="1" w:styleId="Bullet">
    <w:name w:val="Bullet"/>
    <w:basedOn w:val="Normal"/>
    <w:rsid w:val="0053564C"/>
    <w:pPr>
      <w:numPr>
        <w:numId w:val="18"/>
      </w:numPr>
      <w:spacing w:after="0" w:line="240" w:lineRule="auto"/>
      <w:jc w:val="both"/>
    </w:pPr>
    <w:rPr>
      <w:rFonts w:ascii="Arial" w:eastAsia="Times New Roman" w:hAnsi="Arial"/>
      <w:sz w:val="20"/>
      <w:szCs w:val="20"/>
    </w:rPr>
  </w:style>
  <w:style w:type="table" w:customStyle="1" w:styleId="TableGrid1">
    <w:name w:val="Table Grid1"/>
    <w:basedOn w:val="TableNormal"/>
    <w:next w:val="TableGrid"/>
    <w:uiPriority w:val="39"/>
    <w:rsid w:val="0019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9F1"/>
    <w:pPr>
      <w:ind w:left="720"/>
      <w:contextualSpacing/>
    </w:pPr>
  </w:style>
  <w:style w:type="paragraph" w:customStyle="1" w:styleId="Blockquote">
    <w:name w:val="Blockquote"/>
    <w:basedOn w:val="Normal"/>
    <w:rsid w:val="009C19CD"/>
    <w:pPr>
      <w:widowControl w:val="0"/>
      <w:spacing w:before="100" w:after="100" w:line="240" w:lineRule="auto"/>
      <w:ind w:left="360" w:right="36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1164">
      <w:bodyDiv w:val="1"/>
      <w:marLeft w:val="0"/>
      <w:marRight w:val="0"/>
      <w:marTop w:val="0"/>
      <w:marBottom w:val="0"/>
      <w:divBdr>
        <w:top w:val="none" w:sz="0" w:space="0" w:color="auto"/>
        <w:left w:val="none" w:sz="0" w:space="0" w:color="auto"/>
        <w:bottom w:val="none" w:sz="0" w:space="0" w:color="auto"/>
        <w:right w:val="none" w:sz="0" w:space="0" w:color="auto"/>
      </w:divBdr>
    </w:div>
    <w:div w:id="1120609756">
      <w:bodyDiv w:val="1"/>
      <w:marLeft w:val="0"/>
      <w:marRight w:val="0"/>
      <w:marTop w:val="0"/>
      <w:marBottom w:val="0"/>
      <w:divBdr>
        <w:top w:val="none" w:sz="0" w:space="0" w:color="auto"/>
        <w:left w:val="none" w:sz="0" w:space="0" w:color="auto"/>
        <w:bottom w:val="none" w:sz="0" w:space="0" w:color="auto"/>
        <w:right w:val="none" w:sz="0" w:space="0" w:color="auto"/>
      </w:divBdr>
    </w:div>
    <w:div w:id="1121070978">
      <w:bodyDiv w:val="1"/>
      <w:marLeft w:val="0"/>
      <w:marRight w:val="0"/>
      <w:marTop w:val="0"/>
      <w:marBottom w:val="0"/>
      <w:divBdr>
        <w:top w:val="none" w:sz="0" w:space="0" w:color="auto"/>
        <w:left w:val="none" w:sz="0" w:space="0" w:color="auto"/>
        <w:bottom w:val="none" w:sz="0" w:space="0" w:color="auto"/>
        <w:right w:val="none" w:sz="0" w:space="0" w:color="auto"/>
      </w:divBdr>
    </w:div>
    <w:div w:id="1274750365">
      <w:bodyDiv w:val="1"/>
      <w:marLeft w:val="0"/>
      <w:marRight w:val="0"/>
      <w:marTop w:val="0"/>
      <w:marBottom w:val="0"/>
      <w:divBdr>
        <w:top w:val="none" w:sz="0" w:space="0" w:color="auto"/>
        <w:left w:val="none" w:sz="0" w:space="0" w:color="auto"/>
        <w:bottom w:val="none" w:sz="0" w:space="0" w:color="auto"/>
        <w:right w:val="none" w:sz="0" w:space="0" w:color="auto"/>
      </w:divBdr>
    </w:div>
    <w:div w:id="1546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B60E18B5DEC489B2BD40F90D551DC" ma:contentTypeVersion="16" ma:contentTypeDescription="Create a new document." ma:contentTypeScope="" ma:versionID="a1206d270ab74268bc881a05bf7bf128">
  <xsd:schema xmlns:xsd="http://www.w3.org/2001/XMLSchema" xmlns:xs="http://www.w3.org/2001/XMLSchema" xmlns:p="http://schemas.microsoft.com/office/2006/metadata/properties" xmlns:ns2="b1a9e682-f94c-42cb-b12b-c2bc6def5c22" xmlns:ns3="c9267603-068e-4e42-9f73-f34b6781e48b" targetNamespace="http://schemas.microsoft.com/office/2006/metadata/properties" ma:root="true" ma:fieldsID="5a1c52e19f15acc686801ad8f753ea97" ns2:_="" ns3:_="">
    <xsd:import namespace="b1a9e682-f94c-42cb-b12b-c2bc6def5c22"/>
    <xsd:import namespace="c9267603-068e-4e42-9f73-f34b6781e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e682-f94c-42cb-b12b-c2bc6def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a5e447-b9a3-4d5b-9944-86e1df719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67603-068e-4e42-9f73-f34b6781e4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e690c8-fc05-44da-9f02-3274ba326209}" ma:internalName="TaxCatchAll" ma:showField="CatchAllData" ma:web="c9267603-068e-4e42-9f73-f34b6781e4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5BB88-B072-4DE4-AC0D-AF8233B673A4}">
  <ds:schemaRefs>
    <ds:schemaRef ds:uri="http://schemas.microsoft.com/sharepoint/v3/contenttype/forms"/>
  </ds:schemaRefs>
</ds:datastoreItem>
</file>

<file path=customXml/itemProps2.xml><?xml version="1.0" encoding="utf-8"?>
<ds:datastoreItem xmlns:ds="http://schemas.openxmlformats.org/officeDocument/2006/customXml" ds:itemID="{80F1DF1A-3211-4116-8275-77D00CD66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e682-f94c-42cb-b12b-c2bc6def5c22"/>
    <ds:schemaRef ds:uri="c9267603-068e-4e42-9f73-f34b6781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Euan Oattes</cp:lastModifiedBy>
  <cp:revision>18</cp:revision>
  <dcterms:created xsi:type="dcterms:W3CDTF">2013-11-19T09:51:00Z</dcterms:created>
  <dcterms:modified xsi:type="dcterms:W3CDTF">2022-10-20T07:44:00Z</dcterms:modified>
</cp:coreProperties>
</file>